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108.0" w:type="dxa"/>
        <w:tblLayout w:type="fixed"/>
        <w:tblLook w:val="0000"/>
      </w:tblPr>
      <w:tblGrid>
        <w:gridCol w:w="6375"/>
        <w:gridCol w:w="4065"/>
        <w:tblGridChange w:id="0">
          <w:tblGrid>
            <w:gridCol w:w="6375"/>
            <w:gridCol w:w="40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     Dheeraj Yadav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        Electrical Production Assistant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Inxee Systems pvt. Ltd 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Phone:   +91  7011637089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Email:  Dheeraj116057@gmail.com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Address: H.No. -109 sec -21 Dundahera Gurgaon Haryana pincode - 122016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4.0" w:type="dxa"/>
        <w:jc w:val="left"/>
        <w:tblInd w:w="-108.0" w:type="dxa"/>
        <w:tblLayout w:type="fixed"/>
        <w:tblLook w:val="0000"/>
      </w:tblPr>
      <w:tblGrid>
        <w:gridCol w:w="10414"/>
        <w:tblGridChange w:id="0">
          <w:tblGrid>
            <w:gridCol w:w="10414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2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77.0" w:type="dxa"/>
        <w:jc w:val="left"/>
        <w:tblInd w:w="-108.0" w:type="dxa"/>
        <w:tblLayout w:type="fixed"/>
        <w:tblLook w:val="0000"/>
      </w:tblPr>
      <w:tblGrid>
        <w:gridCol w:w="10577"/>
        <w:tblGridChange w:id="0">
          <w:tblGrid>
            <w:gridCol w:w="10577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80" w:space="0" w:sz="12" w:val="single"/>
              <w:left w:color="000080" w:space="0" w:sz="12" w:val="single"/>
              <w:bottom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10740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color w:val="333333"/>
          <w:sz w:val="22"/>
          <w:szCs w:val="22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color w:val="333333"/>
          <w:sz w:val="22"/>
          <w:szCs w:val="22"/>
          <w:shd w:fill="fdfdfd" w:val="clear"/>
          <w:vertAlign w:val="baseline"/>
          <w:rtl w:val="0"/>
        </w:rPr>
        <w:t xml:space="preserve">Exceptionally creative and resourceful Electrical Engineer with a stellar record of safety and customer service. Able to handle multiple projects simultaneously with high professionalism and accuracy. Adept at short- and long-term electrical system troubleshooting.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22"/>
          <w:szCs w:val="22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7.0" w:type="dxa"/>
        <w:jc w:val="left"/>
        <w:tblInd w:w="-108.0" w:type="dxa"/>
        <w:tblLayout w:type="fixed"/>
        <w:tblLook w:val="0000"/>
      </w:tblPr>
      <w:tblGrid>
        <w:gridCol w:w="10577"/>
        <w:tblGridChange w:id="0">
          <w:tblGrid>
            <w:gridCol w:w="10577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80" w:space="0" w:sz="12" w:val="single"/>
              <w:left w:color="000080" w:space="0" w:sz="12" w:val="single"/>
              <w:bottom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0740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right="-449" w:firstLine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40.0" w:type="dxa"/>
        <w:jc w:val="left"/>
        <w:tblInd w:w="-108.0" w:type="dxa"/>
        <w:tblLayout w:type="fixed"/>
        <w:tblLook w:val="0000"/>
      </w:tblPr>
      <w:tblGrid>
        <w:gridCol w:w="1818"/>
        <w:gridCol w:w="360"/>
        <w:gridCol w:w="8362"/>
        <w:tblGridChange w:id="0">
          <w:tblGrid>
            <w:gridCol w:w="1818"/>
            <w:gridCol w:w="360"/>
            <w:gridCol w:w="8362"/>
          </w:tblGrid>
        </w:tblGridChange>
      </w:tblGrid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         INXEE SYSTEMS PVT. LTD.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Production manager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12/10/2016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Continue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64.0" w:type="dxa"/>
        <w:jc w:val="left"/>
        <w:tblInd w:w="-108.0" w:type="dxa"/>
        <w:tblLayout w:type="fixed"/>
        <w:tblLook w:val="0000"/>
      </w:tblPr>
      <w:tblGrid>
        <w:gridCol w:w="1818"/>
        <w:gridCol w:w="296"/>
        <w:gridCol w:w="8550"/>
        <w:tblGridChange w:id="0">
          <w:tblGrid>
            <w:gridCol w:w="1818"/>
            <w:gridCol w:w="296"/>
            <w:gridCol w:w="8550"/>
          </w:tblGrid>
        </w:tblGridChange>
      </w:tblGrid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ind w:left="0" w:right="-449" w:firstLine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            MOTHERSON SUMI SYSTEM LTD.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            Assistant Engineer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14/7/2014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15/10/2015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Production wire Harness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cutting &amp; crimping with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CNC machine.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Monitor the manpower for production.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Maintain daily routine check list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of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CNC machine.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Maintain  daily check list of production.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Daily 5s Activities maintain on production floor.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Training for newcomer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Daily Production planning &amp; FIFO maintain in components parts.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Inventory stock updating to manager.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Document maintain of productions.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77.0" w:type="dxa"/>
        <w:jc w:val="left"/>
        <w:tblInd w:w="-108.0" w:type="dxa"/>
        <w:tblLayout w:type="fixed"/>
        <w:tblLook w:val="0000"/>
      </w:tblPr>
      <w:tblGrid>
        <w:gridCol w:w="10577"/>
        <w:tblGridChange w:id="0">
          <w:tblGrid>
            <w:gridCol w:w="10577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80" w:space="0" w:sz="12" w:val="single"/>
              <w:left w:color="000080" w:space="0" w:sz="12" w:val="single"/>
              <w:bottom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10740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Skills &amp; Responsibility In Present company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0" w:right="-449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Electrical Panel Design, Wiring , components selection, Assembly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PLC  I/O Digital Inputs &amp; Output connections verify &amp; components functionality testing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Electrical documentations preparations for production assembly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PDI of machine report documents preparations.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 Reports Documents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Planning, Manpower Handle for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Troubleshooting of Electrical and electronics components  faults.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Preparation of necessary reports and documentaion.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purchasing &amp; Searching electrical components regarding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00" w:right="-449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supports electrically.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Handle Electrical and mechanical  spare parts for AMC service of machines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Electrical Schematic diagram reading and development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Vendor Visit work for material Visual Inspection.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IQC Of Electrical &amp; Electronics Components.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Site Management work For ( AAI Projects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Projects BOM documents sheet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360" w:lineRule="auto"/>
        <w:ind w:left="270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Inventory Stocks Management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2700" w:right="0" w:firstLine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80.0" w:type="dxa"/>
        <w:jc w:val="left"/>
        <w:tblInd w:w="-108.0" w:type="dxa"/>
        <w:tblLayout w:type="fixed"/>
        <w:tblLook w:val="0000"/>
      </w:tblPr>
      <w:tblGrid>
        <w:gridCol w:w="3402"/>
        <w:gridCol w:w="6948"/>
        <w:gridCol w:w="30"/>
        <w:tblGridChange w:id="0">
          <w:tblGrid>
            <w:gridCol w:w="3402"/>
            <w:gridCol w:w="6948"/>
            <w:gridCol w:w="30"/>
          </w:tblGrid>
        </w:tblGridChange>
      </w:tblGrid>
      <w:tr>
        <w:trPr>
          <w:cantSplit w:val="0"/>
          <w:trHeight w:val="38" w:hRule="atLeast"/>
          <w:tblHeader w:val="0"/>
        </w:trPr>
        <w:tc>
          <w:tcPr>
            <w:gridSpan w:val="3"/>
            <w:tcBorders>
              <w:top w:color="000080" w:space="0" w:sz="12" w:val="single"/>
              <w:left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Academic 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lgerian" w:cs="Algerian" w:eastAsia="Algerian" w:hAnsi="Algeri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2011-14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12" w:val="single"/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Dayalbagh Deemed University Technical collage  UttarPradesh  Agra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Diploma in Electrical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(Senior Secondary Examination)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Hardev Inter Collage Chandauli (UP Board)Allahabad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(Secondary Examination)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Hardev Inter Collegae Chandauli (UP Board)Allahabad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bottom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80" w:space="0" w:sz="12" w:val="single"/>
              <w:left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ind w:left="0" w:right="14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900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Microwave Medical Disinfection Waste Systems . ( 2016 To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Advanced ICU &amp; Anesthesia Ventilator,&amp; Basic Ventilator .( 2018 To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Bio Medical Liquid Waste Treatment Machine ( 2020 To Continue)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Medical MAT Project ( 2021 To Continue.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Vehicle Tracking Systems , Wearable GPS Watch (2019 To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Smart Cap Sleefe For Logistics Use. ( 2021 TO 2022 )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S-vdgs Smart Docking AAI Project. (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2021 TO Continue )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9"/>
        <w:tblW w:w="10770.0" w:type="dxa"/>
        <w:jc w:val="left"/>
        <w:tblInd w:w="-108.0" w:type="dxa"/>
        <w:tblLayout w:type="fixed"/>
        <w:tblLook w:val="0000"/>
      </w:tblPr>
      <w:tblGrid>
        <w:gridCol w:w="558"/>
        <w:gridCol w:w="10062"/>
        <w:gridCol w:w="150"/>
        <w:tblGridChange w:id="0">
          <w:tblGrid>
            <w:gridCol w:w="558"/>
            <w:gridCol w:w="10062"/>
            <w:gridCol w:w="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12" w:val="single"/>
              <w:left w:color="000080" w:space="0" w:sz="12" w:val="single"/>
              <w:right w:color="00008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ind w:left="0" w:right="14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Personal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lgerian" w:cs="Algerian" w:eastAsia="Algerian" w:hAnsi="Algeri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12" w:val="single"/>
              <w:left w:color="00008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ind w:left="0" w:right="146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645.0" w:type="dxa"/>
              <w:jc w:val="left"/>
              <w:tblLayout w:type="fixed"/>
              <w:tblLook w:val="0000"/>
            </w:tblPr>
            <w:tblGrid>
              <w:gridCol w:w="2350"/>
              <w:gridCol w:w="435"/>
              <w:gridCol w:w="6860"/>
              <w:tblGridChange w:id="0">
                <w:tblGrid>
                  <w:gridCol w:w="2350"/>
                  <w:gridCol w:w="435"/>
                  <w:gridCol w:w="68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7B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Father 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7D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Late Rambadan Yadav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7E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Date of Birth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0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sz w:val="22"/>
                      <w:szCs w:val="22"/>
                      <w:vertAlign w:val="superscript"/>
                      <w:rtl w:val="0"/>
                    </w:rPr>
                    <w:t xml:space="preserve">nd</w:t>
                  </w: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 August1994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1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Sex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2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3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Male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4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Marital Status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6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Married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7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Nationality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8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9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Indian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A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Languages Known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B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C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English, Hindi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D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Permanent Address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E">
                  <w:pPr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08F">
                  <w:pPr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Vill- Amadpur, Post-Dhanapur, Distt- Chandauli, State. -  Utter Pardesh-232105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77.0" w:type="dxa"/>
        <w:jc w:val="left"/>
        <w:tblInd w:w="-108.0" w:type="dxa"/>
        <w:tblLayout w:type="fixed"/>
        <w:tblLook w:val="0000"/>
      </w:tblPr>
      <w:tblGrid>
        <w:gridCol w:w="10577"/>
        <w:tblGridChange w:id="0">
          <w:tblGrid>
            <w:gridCol w:w="10577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80" w:space="0" w:sz="12" w:val="single"/>
              <w:left w:color="000080" w:space="0" w:sz="12" w:val="single"/>
              <w:bottom w:color="000080" w:space="0" w:sz="12" w:val="single"/>
              <w:right w:color="00008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10740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sz w:val="22"/>
                <w:szCs w:val="22"/>
                <w:vertAlign w:val="baseline"/>
                <w:rtl w:val="0"/>
              </w:rPr>
              <w:t xml:space="preserve">DECLARATION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I hereby declare that all the information furnished above  is true to my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61.999999999998" w:type="dxa"/>
        <w:jc w:val="left"/>
        <w:tblInd w:w="-108.0" w:type="dxa"/>
        <w:tblLayout w:type="fixed"/>
        <w:tblLook w:val="0000"/>
      </w:tblPr>
      <w:tblGrid>
        <w:gridCol w:w="3554"/>
        <w:gridCol w:w="3554"/>
        <w:gridCol w:w="3554"/>
        <w:tblGridChange w:id="0">
          <w:tblGrid>
            <w:gridCol w:w="3554"/>
            <w:gridCol w:w="3554"/>
            <w:gridCol w:w="35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Place: Gurgaon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Dheeraj Yadav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730" w:top="1289" w:left="730" w:right="730" w:header="73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lgeri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color="d9d9d9" w:space="1" w:sz="4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74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270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27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